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color w:val="000000"/>
          <w:sz w:val="32"/>
          <w:szCs w:val="32"/>
        </w:rPr>
      </w:pPr>
      <w:r>
        <w:rPr>
          <w:rFonts w:hint="eastAsia" w:ascii="黑体" w:hAnsi="黑体" w:eastAsia="黑体"/>
          <w:b/>
          <w:sz w:val="32"/>
          <w:szCs w:val="32"/>
        </w:rPr>
        <w:t>茂名职业技术学院</w:t>
      </w:r>
      <w:r>
        <w:rPr>
          <w:rFonts w:ascii="黑体" w:hAnsi="黑体" w:eastAsia="黑体"/>
          <w:b/>
          <w:sz w:val="32"/>
          <w:szCs w:val="32"/>
        </w:rPr>
        <w:t>2020</w:t>
      </w:r>
      <w:r>
        <w:rPr>
          <w:rFonts w:hint="eastAsia" w:ascii="黑体" w:hAnsi="黑体" w:eastAsia="黑体"/>
          <w:b/>
          <w:sz w:val="32"/>
          <w:szCs w:val="32"/>
        </w:rPr>
        <w:t>年</w:t>
      </w:r>
      <w:r>
        <w:rPr>
          <w:rFonts w:hint="eastAsia" w:ascii="黑体" w:hAnsi="黑体" w:eastAsia="黑体"/>
          <w:b/>
          <w:sz w:val="32"/>
          <w:szCs w:val="32"/>
          <w:lang w:val="en-US" w:eastAsia="zh-CN"/>
        </w:rPr>
        <w:t>自主</w:t>
      </w:r>
      <w:r>
        <w:rPr>
          <w:rFonts w:hint="eastAsia" w:ascii="黑体" w:hAnsi="黑体" w:eastAsia="黑体"/>
          <w:b/>
          <w:color w:val="000000"/>
          <w:sz w:val="32"/>
          <w:szCs w:val="32"/>
        </w:rPr>
        <w:t>招生</w:t>
      </w:r>
    </w:p>
    <w:p>
      <w:pPr>
        <w:spacing w:line="360" w:lineRule="auto"/>
        <w:jc w:val="center"/>
        <w:rPr>
          <w:rFonts w:ascii="黑体" w:hAnsi="黑体" w:eastAsia="黑体"/>
          <w:b/>
          <w:sz w:val="32"/>
          <w:szCs w:val="32"/>
        </w:rPr>
      </w:pPr>
      <w:r>
        <w:rPr>
          <w:rFonts w:hint="eastAsia" w:ascii="黑体" w:hAnsi="黑体" w:eastAsia="黑体"/>
          <w:b/>
          <w:color w:val="000000"/>
          <w:sz w:val="32"/>
          <w:szCs w:val="32"/>
        </w:rPr>
        <w:t>建筑工程</w:t>
      </w:r>
      <w:r>
        <w:rPr>
          <w:rFonts w:hint="eastAsia" w:ascii="黑体" w:hAnsi="黑体" w:eastAsia="黑体"/>
          <w:b/>
          <w:sz w:val="32"/>
          <w:szCs w:val="32"/>
        </w:rPr>
        <w:t>技术专业</w:t>
      </w:r>
      <w:r>
        <w:rPr>
          <w:rFonts w:hint="eastAsia" w:ascii="黑体" w:hAnsi="黑体" w:eastAsia="黑体"/>
          <w:b/>
          <w:sz w:val="32"/>
          <w:szCs w:val="32"/>
          <w:lang w:eastAsia="zh-CN"/>
        </w:rPr>
        <w:t>（</w:t>
      </w:r>
      <w:r>
        <w:rPr>
          <w:rFonts w:hint="eastAsia" w:ascii="黑体" w:hAnsi="黑体" w:eastAsia="黑体"/>
          <w:b/>
          <w:color w:val="000000"/>
          <w:sz w:val="32"/>
          <w:szCs w:val="32"/>
        </w:rPr>
        <w:t>现代学徒制</w:t>
      </w:r>
      <w:r>
        <w:rPr>
          <w:rFonts w:hint="eastAsia" w:ascii="黑体" w:hAnsi="黑体" w:eastAsia="黑体"/>
          <w:b/>
          <w:color w:val="000000"/>
          <w:sz w:val="32"/>
          <w:szCs w:val="32"/>
          <w:lang w:eastAsia="zh-CN"/>
        </w:rPr>
        <w:t>）</w:t>
      </w:r>
      <w:bookmarkStart w:id="0" w:name="_GoBack"/>
      <w:bookmarkEnd w:id="0"/>
      <w:r>
        <w:rPr>
          <w:rFonts w:hint="eastAsia" w:ascii="黑体" w:hAnsi="黑体" w:eastAsia="黑体"/>
          <w:b/>
          <w:sz w:val="32"/>
          <w:szCs w:val="32"/>
        </w:rPr>
        <w:t>《职业技能》考试大纲</w:t>
      </w:r>
    </w:p>
    <w:p>
      <w:pPr>
        <w:spacing w:line="360" w:lineRule="auto"/>
        <w:rPr>
          <w:sz w:val="24"/>
          <w:szCs w:val="24"/>
        </w:rPr>
      </w:pPr>
    </w:p>
    <w:p>
      <w:pPr>
        <w:spacing w:line="360" w:lineRule="auto"/>
        <w:rPr>
          <w:b/>
          <w:sz w:val="28"/>
          <w:szCs w:val="28"/>
        </w:rPr>
      </w:pPr>
      <w:r>
        <w:rPr>
          <w:rFonts w:hint="eastAsia"/>
          <w:b/>
          <w:sz w:val="28"/>
          <w:szCs w:val="28"/>
        </w:rPr>
        <w:t>一、考试性质</w:t>
      </w:r>
    </w:p>
    <w:p>
      <w:pPr>
        <w:spacing w:line="360" w:lineRule="auto"/>
        <w:ind w:firstLine="480" w:firstLineChars="200"/>
        <w:rPr>
          <w:sz w:val="24"/>
          <w:szCs w:val="24"/>
        </w:rPr>
      </w:pPr>
      <w:r>
        <w:rPr>
          <w:rFonts w:hint="eastAsia"/>
          <w:sz w:val="24"/>
          <w:szCs w:val="24"/>
        </w:rPr>
        <w:t>本专业职业技能考试是按照茂名职业技术学院现代学徒制招生有关规定，是由获得企业推荐的考生参加的选拔性考试，主要测试考生对报考建筑工程技术专业的倾向、兴趣爱好、职业发展潜力以及对行业产业发展、职业岗位、专业常识、素质要求等方面的初步了解情况，将考生的测试成绩与“文化素质”成绩合并，择优录取。</w:t>
      </w:r>
    </w:p>
    <w:p>
      <w:pPr>
        <w:spacing w:line="360" w:lineRule="auto"/>
        <w:rPr>
          <w:b/>
          <w:sz w:val="28"/>
          <w:szCs w:val="28"/>
        </w:rPr>
      </w:pPr>
      <w:r>
        <w:rPr>
          <w:rFonts w:hint="eastAsia"/>
          <w:b/>
          <w:sz w:val="28"/>
          <w:szCs w:val="28"/>
        </w:rPr>
        <w:t>二、考试方式</w:t>
      </w:r>
    </w:p>
    <w:p>
      <w:pPr>
        <w:spacing w:line="360" w:lineRule="auto"/>
        <w:ind w:firstLine="480" w:firstLineChars="200"/>
        <w:rPr>
          <w:sz w:val="24"/>
          <w:szCs w:val="24"/>
        </w:rPr>
      </w:pPr>
      <w:r>
        <w:rPr>
          <w:rFonts w:hint="eastAsia"/>
          <w:sz w:val="24"/>
          <w:szCs w:val="24"/>
        </w:rPr>
        <w:t>考试旨在考查学生综合素质和职业技能的基本认识，均采用笔试方式进行。笔试考试总时间为120分钟，文化素质和职业技能测试各60分钟。其中文化素质包括《语文》、《数学》、《英语》三科，试卷面值原始总分为100分；职业技能测试以建筑工程技术专业检测方向内容为主，试卷面值原始总分为100分。</w:t>
      </w:r>
    </w:p>
    <w:p>
      <w:pPr>
        <w:spacing w:line="360" w:lineRule="auto"/>
        <w:ind w:firstLine="480" w:firstLineChars="200"/>
        <w:rPr>
          <w:sz w:val="24"/>
          <w:szCs w:val="24"/>
        </w:rPr>
      </w:pPr>
      <w:r>
        <w:rPr>
          <w:rFonts w:hint="eastAsia"/>
          <w:sz w:val="24"/>
          <w:szCs w:val="24"/>
        </w:rPr>
        <w:t>其中“文化素质”及“职业技能”测试标准满分值合计100分，其中文化素质考核内容分值为40分，职业技能考核内容分值为60分，以“文化素质”和“职业技能”两部分的总标准分的分值择优录取。</w:t>
      </w:r>
    </w:p>
    <w:p>
      <w:pPr>
        <w:spacing w:line="360" w:lineRule="auto"/>
        <w:ind w:firstLine="480" w:firstLineChars="200"/>
        <w:rPr>
          <w:sz w:val="24"/>
          <w:szCs w:val="24"/>
        </w:rPr>
      </w:pPr>
      <w:r>
        <w:rPr>
          <w:rFonts w:hint="eastAsia"/>
          <w:sz w:val="24"/>
          <w:szCs w:val="24"/>
        </w:rPr>
        <w:t>三、考试内容</w:t>
      </w:r>
    </w:p>
    <w:p>
      <w:pPr>
        <w:spacing w:line="360" w:lineRule="auto"/>
        <w:ind w:firstLine="480" w:firstLineChars="200"/>
        <w:rPr>
          <w:sz w:val="24"/>
          <w:szCs w:val="24"/>
        </w:rPr>
      </w:pPr>
      <w:r>
        <w:rPr>
          <w:rFonts w:hint="eastAsia"/>
          <w:sz w:val="24"/>
          <w:szCs w:val="24"/>
        </w:rPr>
        <w:t>本考试内容以普通高中学校的教科书为基础，结合高中的学习要求、教育实际及对本专业的基本认识，从思想素质、科学素质、人文素质、心理健康素质、创新素质等方面考察学生的职业适应性，旨在测试考生未来从事生产、建设、服务、管理等一线工作所必备的基本职业素质。</w:t>
      </w:r>
    </w:p>
    <w:p>
      <w:pPr>
        <w:spacing w:line="360" w:lineRule="auto"/>
        <w:ind w:firstLine="480" w:firstLineChars="200"/>
        <w:rPr>
          <w:sz w:val="24"/>
          <w:szCs w:val="24"/>
        </w:rPr>
      </w:pPr>
      <w:r>
        <w:rPr>
          <w:rFonts w:hint="eastAsia"/>
          <w:sz w:val="24"/>
          <w:szCs w:val="24"/>
        </w:rPr>
        <w:t>职业技能考试内容涉及以下综合素质和专业基本知识：</w:t>
      </w:r>
    </w:p>
    <w:p>
      <w:pPr>
        <w:spacing w:line="360" w:lineRule="auto"/>
        <w:ind w:firstLine="480" w:firstLineChars="200"/>
        <w:rPr>
          <w:sz w:val="24"/>
          <w:szCs w:val="24"/>
        </w:rPr>
      </w:pPr>
      <w:r>
        <w:rPr>
          <w:sz w:val="24"/>
          <w:szCs w:val="24"/>
        </w:rPr>
        <w:t>1.</w:t>
      </w:r>
      <w:r>
        <w:rPr>
          <w:rFonts w:hint="eastAsia"/>
          <w:sz w:val="24"/>
          <w:szCs w:val="24"/>
        </w:rPr>
        <w:t>思想素质：政治素质、思想素质、道德素质、法纪意识、敬业修养等。</w:t>
      </w:r>
    </w:p>
    <w:p>
      <w:pPr>
        <w:spacing w:line="360" w:lineRule="auto"/>
        <w:ind w:firstLine="480" w:firstLineChars="200"/>
        <w:rPr>
          <w:sz w:val="24"/>
          <w:szCs w:val="24"/>
        </w:rPr>
      </w:pPr>
      <w:r>
        <w:rPr>
          <w:sz w:val="24"/>
          <w:szCs w:val="24"/>
        </w:rPr>
        <w:t>2.</w:t>
      </w:r>
      <w:r>
        <w:rPr>
          <w:rFonts w:hint="eastAsia"/>
          <w:sz w:val="24"/>
          <w:szCs w:val="24"/>
        </w:rPr>
        <w:t>科学素质：科学知识、科学方法、专业特长及能力倾向等。</w:t>
      </w:r>
    </w:p>
    <w:p>
      <w:pPr>
        <w:spacing w:line="360" w:lineRule="auto"/>
        <w:ind w:firstLine="480" w:firstLineChars="200"/>
        <w:rPr>
          <w:sz w:val="24"/>
          <w:szCs w:val="24"/>
        </w:rPr>
      </w:pPr>
      <w:r>
        <w:rPr>
          <w:sz w:val="24"/>
          <w:szCs w:val="24"/>
        </w:rPr>
        <w:t>3.</w:t>
      </w:r>
      <w:r>
        <w:rPr>
          <w:rFonts w:hint="eastAsia"/>
          <w:sz w:val="24"/>
          <w:szCs w:val="24"/>
        </w:rPr>
        <w:t>人文素质：逻辑思维、合作意识等。</w:t>
      </w:r>
    </w:p>
    <w:p>
      <w:pPr>
        <w:spacing w:line="360" w:lineRule="auto"/>
        <w:ind w:firstLine="480" w:firstLineChars="200"/>
        <w:rPr>
          <w:sz w:val="24"/>
          <w:szCs w:val="24"/>
        </w:rPr>
      </w:pPr>
      <w:r>
        <w:rPr>
          <w:sz w:val="24"/>
          <w:szCs w:val="24"/>
        </w:rPr>
        <w:t>4.</w:t>
      </w:r>
      <w:r>
        <w:rPr>
          <w:rFonts w:hint="eastAsia"/>
          <w:sz w:val="24"/>
          <w:szCs w:val="24"/>
        </w:rPr>
        <w:t>心理健康素质：身体素质、心理素质、反应能力、安全意识等。</w:t>
      </w:r>
    </w:p>
    <w:p>
      <w:pPr>
        <w:spacing w:line="360" w:lineRule="auto"/>
        <w:ind w:firstLine="480" w:firstLineChars="200"/>
        <w:rPr>
          <w:sz w:val="24"/>
          <w:szCs w:val="24"/>
        </w:rPr>
      </w:pPr>
      <w:r>
        <w:rPr>
          <w:sz w:val="24"/>
          <w:szCs w:val="24"/>
        </w:rPr>
        <w:t>5.</w:t>
      </w:r>
      <w:r>
        <w:rPr>
          <w:rFonts w:hint="eastAsia"/>
          <w:sz w:val="24"/>
          <w:szCs w:val="24"/>
        </w:rPr>
        <w:t>创新素质：创新品质、创新思维、创新能力等。</w:t>
      </w:r>
    </w:p>
    <w:p>
      <w:pPr>
        <w:spacing w:line="360" w:lineRule="auto"/>
        <w:ind w:firstLine="480" w:firstLineChars="200"/>
        <w:rPr>
          <w:sz w:val="24"/>
          <w:szCs w:val="24"/>
        </w:rPr>
      </w:pPr>
      <w:r>
        <w:rPr>
          <w:sz w:val="24"/>
          <w:szCs w:val="24"/>
        </w:rPr>
        <w:t>6.</w:t>
      </w:r>
      <w:r>
        <w:rPr>
          <w:rFonts w:hint="eastAsia"/>
          <w:sz w:val="24"/>
          <w:szCs w:val="24"/>
        </w:rPr>
        <w:t>专业基础：计算机应用技术、建筑材料、建筑制图等基础知识。《计算机应用技术》考核学生对计算机信息技术的基本知识、基本理论、基本技能以及日常管理和维护的了解和掌握程度，为评价考生的专业基础知识提供参考依据。《建筑材料》考核考生的对建筑材料的认识，建筑的种类、各种建筑材料的基本用途、建筑材料的基本特性的认知和掌握程度，为评价考生的专业基础知识和应用能力提供参考依据。《建筑制图》、《建筑构造》、《建筑施工技术》考核考生的建筑制图基础知识、基本技能的掌握程度以及学生制图、识图基本能力，建筑的基本构造组成及理论、建筑物的消防设置等常识，了解建筑施工现场的安全知识，为评价考生的建筑构造知识、施工现场的安全管理和应用能力提供依据。</w:t>
      </w:r>
    </w:p>
    <w:p>
      <w:pPr>
        <w:spacing w:line="360" w:lineRule="auto"/>
        <w:ind w:firstLine="480" w:firstLineChars="200"/>
        <w:rPr>
          <w:rFonts w:ascii="宋体"/>
          <w:sz w:val="28"/>
          <w:szCs w:val="28"/>
        </w:rPr>
      </w:pPr>
      <w:r>
        <w:rPr>
          <w:sz w:val="24"/>
          <w:szCs w:val="24"/>
        </w:rPr>
        <w:t>7.</w:t>
      </w:r>
      <w:r>
        <w:rPr>
          <w:rFonts w:hint="eastAsia"/>
          <w:sz w:val="24"/>
          <w:szCs w:val="24"/>
        </w:rPr>
        <w:t>职业素质：本专业培养与我国社会主义现代化建设要求相适应，德、智、体、美、劳全面发展，面向建筑工程、市政工程、公路工程、水运工程、铁路工程等行业（企业），既能从事土木工程大类的检测、施工、测量、质检资料技术岗位等工作，又能胜任专业的工程类检测企业的检测员岗位工作，具备建筑工程技术专业能力和职业素养及职业能力，以及自主学习能力，能适应工程建设中的质量控制，生产管理第一线的发展型、复合型和创新型的技术技能人才。</w:t>
      </w:r>
    </w:p>
    <w:p>
      <w:pPr>
        <w:spacing w:line="360" w:lineRule="auto"/>
        <w:ind w:firstLine="480" w:firstLineChars="200"/>
        <w:rPr>
          <w:color w:val="FF0000"/>
          <w:sz w:val="24"/>
          <w:szCs w:val="24"/>
        </w:rPr>
      </w:pPr>
      <w:r>
        <w:rPr>
          <w:rFonts w:hint="eastAsia" w:ascii="宋体" w:hAnsi="宋体" w:cs="宋体"/>
          <w:color w:val="000000"/>
          <w:kern w:val="0"/>
          <w:sz w:val="24"/>
          <w:szCs w:val="24"/>
        </w:rPr>
        <w:t>考试时间具体安排：</w:t>
      </w:r>
      <w:r>
        <w:rPr>
          <w:rFonts w:hint="eastAsia" w:ascii="新宋体" w:hAnsi="新宋体" w:eastAsia="新宋体" w:cs="宋体"/>
          <w:kern w:val="0"/>
          <w:sz w:val="24"/>
        </w:rPr>
        <w:t>60分钟：</w:t>
      </w:r>
      <w:r>
        <w:rPr>
          <w:rFonts w:hint="eastAsia"/>
          <w:sz w:val="24"/>
          <w:szCs w:val="24"/>
        </w:rPr>
        <w:t>文化素质部分；60分钟：职业技能测</w:t>
      </w:r>
    </w:p>
    <w:p>
      <w:pPr>
        <w:widowControl/>
        <w:shd w:val="clear" w:color="auto" w:fill="FFFFFF"/>
        <w:spacing w:line="500" w:lineRule="atLeast"/>
        <w:jc w:val="left"/>
        <w:textAlignment w:val="baseline"/>
        <w:rPr>
          <w:rFonts w:ascii="宋体" w:cs="宋体"/>
          <w:b/>
          <w:bCs/>
          <w:color w:val="000000"/>
          <w:kern w:val="0"/>
          <w:sz w:val="28"/>
          <w:szCs w:val="28"/>
        </w:rPr>
      </w:pPr>
      <w:r>
        <w:rPr>
          <w:rFonts w:hint="eastAsia"/>
          <w:b/>
          <w:sz w:val="28"/>
          <w:szCs w:val="28"/>
        </w:rPr>
        <w:t>四、</w:t>
      </w:r>
      <w:r>
        <w:rPr>
          <w:rFonts w:hint="eastAsia" w:ascii="宋体" w:hAnsi="宋体" w:cs="宋体"/>
          <w:b/>
          <w:bCs/>
          <w:color w:val="000000"/>
          <w:kern w:val="0"/>
          <w:sz w:val="28"/>
          <w:szCs w:val="28"/>
        </w:rPr>
        <w:t>考试内容比例</w:t>
      </w:r>
    </w:p>
    <w:p>
      <w:pPr>
        <w:spacing w:line="360" w:lineRule="auto"/>
        <w:ind w:firstLine="480" w:firstLineChars="200"/>
        <w:rPr>
          <w:sz w:val="24"/>
          <w:szCs w:val="24"/>
        </w:rPr>
      </w:pPr>
      <w:r>
        <w:rPr>
          <w:rFonts w:hint="eastAsia"/>
          <w:sz w:val="24"/>
          <w:szCs w:val="24"/>
        </w:rPr>
        <w:t>职业技能测试笔试部分为选择题、是非判断题，计算题、问答题。</w:t>
      </w:r>
    </w:p>
    <w:p>
      <w:pPr>
        <w:widowControl/>
        <w:shd w:val="clear" w:color="auto" w:fill="FFFFFF"/>
        <w:spacing w:line="500" w:lineRule="atLeast"/>
        <w:ind w:firstLine="480"/>
        <w:jc w:val="left"/>
        <w:textAlignment w:val="baseline"/>
        <w:rPr>
          <w:rFonts w:ascii="宋体" w:cs="宋体"/>
          <w:color w:val="000000"/>
          <w:kern w:val="0"/>
          <w:sz w:val="20"/>
          <w:szCs w:val="20"/>
        </w:rPr>
      </w:pPr>
      <w:r>
        <w:rPr>
          <w:rFonts w:hint="eastAsia"/>
          <w:sz w:val="24"/>
          <w:szCs w:val="24"/>
        </w:rPr>
        <w:t>职业技能测试部分</w:t>
      </w:r>
      <w:r>
        <w:rPr>
          <w:rFonts w:hint="eastAsia" w:ascii="宋体" w:hAnsi="宋体" w:cs="宋体"/>
          <w:bCs/>
          <w:color w:val="000000"/>
          <w:kern w:val="0"/>
          <w:sz w:val="24"/>
          <w:szCs w:val="24"/>
        </w:rPr>
        <w:t>内容比例</w:t>
      </w:r>
    </w:p>
    <w:tbl>
      <w:tblPr>
        <w:tblStyle w:val="7"/>
        <w:tblW w:w="8522" w:type="dxa"/>
        <w:tblInd w:w="0" w:type="dxa"/>
        <w:tblLayout w:type="fixed"/>
        <w:tblCellMar>
          <w:top w:w="0" w:type="dxa"/>
          <w:left w:w="0" w:type="dxa"/>
          <w:bottom w:w="0" w:type="dxa"/>
          <w:right w:w="0" w:type="dxa"/>
        </w:tblCellMar>
      </w:tblPr>
      <w:tblGrid>
        <w:gridCol w:w="3044"/>
        <w:gridCol w:w="5478"/>
      </w:tblGrid>
      <w:tr>
        <w:tblPrEx>
          <w:tblCellMar>
            <w:top w:w="0" w:type="dxa"/>
            <w:left w:w="0" w:type="dxa"/>
            <w:bottom w:w="0" w:type="dxa"/>
            <w:right w:w="0" w:type="dxa"/>
          </w:tblCellMar>
        </w:tblPrEx>
        <w:trPr>
          <w:trHeight w:val="345" w:hRule="atLeast"/>
        </w:trPr>
        <w:tc>
          <w:tcPr>
            <w:tcW w:w="3044" w:type="dxa"/>
            <w:tcBorders>
              <w:top w:val="single" w:color="auto" w:sz="8" w:space="0"/>
              <w:left w:val="single" w:color="auto" w:sz="8" w:space="0"/>
              <w:bottom w:val="single" w:color="auto" w:sz="8" w:space="0"/>
              <w:right w:val="single" w:color="000000" w:sz="8" w:space="0"/>
            </w:tcBorders>
            <w:shd w:val="clear" w:color="auto" w:fill="FFFFFF"/>
            <w:tcMar>
              <w:top w:w="0" w:type="dxa"/>
              <w:left w:w="108" w:type="dxa"/>
              <w:bottom w:w="0" w:type="dxa"/>
              <w:right w:w="108" w:type="dxa"/>
            </w:tcMar>
            <w:vAlign w:val="bottom"/>
          </w:tcPr>
          <w:p>
            <w:pPr>
              <w:widowControl/>
              <w:wordWrap w:val="0"/>
              <w:spacing w:line="500" w:lineRule="atLeast"/>
              <w:ind w:firstLine="480"/>
              <w:jc w:val="center"/>
              <w:textAlignment w:val="baseline"/>
              <w:rPr>
                <w:rFonts w:ascii="宋体" w:cs="宋体"/>
                <w:color w:val="000000"/>
                <w:kern w:val="0"/>
                <w:sz w:val="18"/>
                <w:szCs w:val="18"/>
              </w:rPr>
            </w:pPr>
            <w:r>
              <w:rPr>
                <w:rFonts w:hint="eastAsia" w:ascii="宋体" w:hAnsi="宋体" w:cs="宋体"/>
                <w:color w:val="000000"/>
                <w:kern w:val="0"/>
                <w:sz w:val="24"/>
                <w:szCs w:val="24"/>
              </w:rPr>
              <w:t>试题类型分值</w:t>
            </w:r>
          </w:p>
        </w:tc>
        <w:tc>
          <w:tcPr>
            <w:tcW w:w="5478" w:type="dxa"/>
            <w:tcBorders>
              <w:top w:val="single" w:color="auto" w:sz="8" w:space="0"/>
              <w:left w:val="nil"/>
              <w:bottom w:val="single" w:color="auto" w:sz="8" w:space="0"/>
              <w:right w:val="single" w:color="000000" w:sz="8" w:space="0"/>
            </w:tcBorders>
            <w:shd w:val="clear" w:color="auto" w:fill="FFFFFF"/>
            <w:tcMar>
              <w:top w:w="0" w:type="dxa"/>
              <w:left w:w="108" w:type="dxa"/>
              <w:bottom w:w="0" w:type="dxa"/>
              <w:right w:w="108" w:type="dxa"/>
            </w:tcMar>
            <w:vAlign w:val="bottom"/>
          </w:tcPr>
          <w:p>
            <w:pPr>
              <w:widowControl/>
              <w:wordWrap w:val="0"/>
              <w:spacing w:line="500" w:lineRule="atLeast"/>
              <w:ind w:firstLine="480"/>
              <w:jc w:val="center"/>
              <w:textAlignment w:val="baseline"/>
              <w:rPr>
                <w:rFonts w:ascii="宋体" w:cs="宋体"/>
                <w:color w:val="000000"/>
                <w:kern w:val="0"/>
                <w:sz w:val="18"/>
                <w:szCs w:val="18"/>
              </w:rPr>
            </w:pPr>
            <w:r>
              <w:rPr>
                <w:rFonts w:hint="eastAsia" w:ascii="宋体" w:hAnsi="宋体" w:cs="宋体"/>
                <w:color w:val="000000"/>
                <w:kern w:val="0"/>
                <w:sz w:val="24"/>
                <w:szCs w:val="24"/>
              </w:rPr>
              <w:t>知识范围</w:t>
            </w:r>
          </w:p>
        </w:tc>
      </w:tr>
      <w:tr>
        <w:tblPrEx>
          <w:tblCellMar>
            <w:top w:w="0" w:type="dxa"/>
            <w:left w:w="0" w:type="dxa"/>
            <w:bottom w:w="0" w:type="dxa"/>
            <w:right w:w="0" w:type="dxa"/>
          </w:tblCellMar>
        </w:tblPrEx>
        <w:trPr>
          <w:trHeight w:val="670" w:hRule="atLeast"/>
        </w:trPr>
        <w:tc>
          <w:tcPr>
            <w:tcW w:w="3044" w:type="dxa"/>
            <w:tcBorders>
              <w:top w:val="single" w:color="auto" w:sz="8" w:space="0"/>
              <w:left w:val="single" w:color="auto" w:sz="8" w:space="0"/>
              <w:right w:val="single" w:color="000000" w:sz="8" w:space="0"/>
            </w:tcBorders>
            <w:shd w:val="clear" w:color="auto" w:fill="FFFFFF"/>
            <w:tcMar>
              <w:top w:w="0" w:type="dxa"/>
              <w:left w:w="108" w:type="dxa"/>
              <w:bottom w:w="0" w:type="dxa"/>
              <w:right w:w="108" w:type="dxa"/>
            </w:tcMar>
            <w:vAlign w:val="center"/>
          </w:tcPr>
          <w:p>
            <w:pPr>
              <w:widowControl/>
              <w:wordWrap w:val="0"/>
              <w:spacing w:line="500" w:lineRule="atLeast"/>
              <w:ind w:firstLine="480"/>
              <w:jc w:val="center"/>
              <w:textAlignment w:val="baseline"/>
              <w:rPr>
                <w:rFonts w:ascii="宋体" w:cs="宋体"/>
                <w:color w:val="000000"/>
                <w:kern w:val="0"/>
                <w:sz w:val="24"/>
                <w:szCs w:val="24"/>
              </w:rPr>
            </w:pPr>
            <w:r>
              <w:rPr>
                <w:rFonts w:hint="eastAsia" w:ascii="宋体" w:cs="宋体"/>
                <w:color w:val="000000"/>
                <w:kern w:val="0"/>
                <w:sz w:val="24"/>
                <w:szCs w:val="24"/>
              </w:rPr>
              <w:t>选择题（40分）</w:t>
            </w:r>
          </w:p>
        </w:tc>
        <w:tc>
          <w:tcPr>
            <w:tcW w:w="5478" w:type="dxa"/>
            <w:vMerge w:val="restart"/>
            <w:tcBorders>
              <w:top w:val="single" w:color="auto" w:sz="8" w:space="0"/>
              <w:left w:val="nil"/>
              <w:right w:val="single" w:color="000000" w:sz="8" w:space="0"/>
            </w:tcBorders>
            <w:shd w:val="clear" w:color="auto" w:fill="FFFFFF"/>
            <w:tcMar>
              <w:top w:w="0" w:type="dxa"/>
              <w:left w:w="108" w:type="dxa"/>
              <w:bottom w:w="0" w:type="dxa"/>
              <w:right w:w="108" w:type="dxa"/>
            </w:tcMar>
            <w:vAlign w:val="bottom"/>
          </w:tcPr>
          <w:p>
            <w:pPr>
              <w:widowControl/>
              <w:spacing w:line="500" w:lineRule="atLeast"/>
              <w:ind w:firstLine="217"/>
              <w:jc w:val="left"/>
              <w:textAlignment w:val="baseline"/>
              <w:rPr>
                <w:rFonts w:ascii="宋体" w:cs="宋体"/>
                <w:color w:val="000000"/>
                <w:kern w:val="0"/>
                <w:sz w:val="24"/>
                <w:szCs w:val="24"/>
              </w:rPr>
            </w:pPr>
            <w:r>
              <w:rPr>
                <w:rFonts w:hint="eastAsia" w:ascii="宋体" w:cs="宋体"/>
                <w:color w:val="000000"/>
                <w:kern w:val="0"/>
                <w:sz w:val="24"/>
                <w:szCs w:val="24"/>
              </w:rPr>
              <w:t>建筑构造、建筑材料的构成及基本常识、生活中常见的建筑布局合理性原则、建筑物的消防知识</w:t>
            </w:r>
          </w:p>
        </w:tc>
      </w:tr>
      <w:tr>
        <w:tblPrEx>
          <w:tblCellMar>
            <w:top w:w="0" w:type="dxa"/>
            <w:left w:w="0" w:type="dxa"/>
            <w:bottom w:w="0" w:type="dxa"/>
            <w:right w:w="0" w:type="dxa"/>
          </w:tblCellMar>
        </w:tblPrEx>
        <w:trPr>
          <w:trHeight w:val="90" w:hRule="atLeast"/>
        </w:trPr>
        <w:tc>
          <w:tcPr>
            <w:tcW w:w="3044" w:type="dxa"/>
            <w:tcBorders>
              <w:top w:val="nil"/>
              <w:left w:val="single" w:color="auto"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wordWrap w:val="0"/>
              <w:spacing w:line="500" w:lineRule="atLeast"/>
              <w:textAlignment w:val="baseline"/>
              <w:rPr>
                <w:rFonts w:ascii="宋体" w:cs="宋体"/>
                <w:color w:val="000000"/>
                <w:kern w:val="0"/>
                <w:sz w:val="18"/>
                <w:szCs w:val="18"/>
              </w:rPr>
            </w:pPr>
          </w:p>
        </w:tc>
        <w:tc>
          <w:tcPr>
            <w:tcW w:w="5478" w:type="dxa"/>
            <w:vMerge w:val="continue"/>
            <w:tcBorders>
              <w:left w:val="nil"/>
              <w:bottom w:val="single" w:color="auto" w:sz="4" w:space="0"/>
              <w:right w:val="single" w:color="000000" w:sz="8" w:space="0"/>
            </w:tcBorders>
            <w:shd w:val="clear" w:color="auto" w:fill="FFFFFF"/>
            <w:tcMar>
              <w:top w:w="0" w:type="dxa"/>
              <w:left w:w="108" w:type="dxa"/>
              <w:bottom w:w="0" w:type="dxa"/>
              <w:right w:w="108" w:type="dxa"/>
            </w:tcMar>
            <w:vAlign w:val="bottom"/>
          </w:tcPr>
          <w:p>
            <w:pPr>
              <w:widowControl/>
              <w:wordWrap w:val="0"/>
              <w:spacing w:line="500" w:lineRule="atLeast"/>
              <w:jc w:val="left"/>
              <w:textAlignment w:val="baseline"/>
              <w:rPr>
                <w:rFonts w:ascii="宋体" w:cs="宋体"/>
                <w:color w:val="000000"/>
                <w:kern w:val="0"/>
                <w:sz w:val="18"/>
                <w:szCs w:val="18"/>
              </w:rPr>
            </w:pPr>
          </w:p>
        </w:tc>
      </w:tr>
      <w:tr>
        <w:tblPrEx>
          <w:tblCellMar>
            <w:top w:w="0" w:type="dxa"/>
            <w:left w:w="0" w:type="dxa"/>
            <w:bottom w:w="0" w:type="dxa"/>
            <w:right w:w="0" w:type="dxa"/>
          </w:tblCellMar>
        </w:tblPrEx>
        <w:trPr>
          <w:trHeight w:val="750" w:hRule="atLeast"/>
        </w:trPr>
        <w:tc>
          <w:tcPr>
            <w:tcW w:w="3044" w:type="dxa"/>
            <w:tcBorders>
              <w:top w:val="nil"/>
              <w:left w:val="single" w:color="auto"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500" w:lineRule="atLeast"/>
              <w:ind w:firstLine="217"/>
              <w:jc w:val="left"/>
              <w:textAlignment w:val="baseline"/>
              <w:rPr>
                <w:rFonts w:ascii="宋体" w:cs="宋体"/>
                <w:color w:val="000000"/>
                <w:kern w:val="0"/>
                <w:sz w:val="24"/>
                <w:szCs w:val="24"/>
              </w:rPr>
            </w:pPr>
            <w:r>
              <w:rPr>
                <w:rFonts w:hint="eastAsia" w:ascii="宋体" w:cs="宋体"/>
                <w:color w:val="000000"/>
                <w:kern w:val="0"/>
                <w:sz w:val="24"/>
                <w:szCs w:val="24"/>
              </w:rPr>
              <w:t>是非判断题（20分）</w:t>
            </w:r>
          </w:p>
        </w:tc>
        <w:tc>
          <w:tcPr>
            <w:tcW w:w="5478" w:type="dxa"/>
            <w:tcBorders>
              <w:top w:val="nil"/>
              <w:left w:val="nil"/>
              <w:bottom w:val="single" w:color="auto" w:sz="4" w:space="0"/>
              <w:right w:val="single" w:color="000000" w:sz="8" w:space="0"/>
            </w:tcBorders>
            <w:shd w:val="clear" w:color="auto" w:fill="FFFFFF"/>
            <w:tcMar>
              <w:top w:w="0" w:type="dxa"/>
              <w:left w:w="108" w:type="dxa"/>
              <w:bottom w:w="0" w:type="dxa"/>
              <w:right w:w="108" w:type="dxa"/>
            </w:tcMar>
            <w:vAlign w:val="bottom"/>
          </w:tcPr>
          <w:p>
            <w:pPr>
              <w:widowControl/>
              <w:spacing w:line="500" w:lineRule="atLeast"/>
              <w:ind w:firstLine="217"/>
              <w:jc w:val="left"/>
              <w:textAlignment w:val="baseline"/>
              <w:rPr>
                <w:rFonts w:ascii="宋体" w:cs="宋体"/>
                <w:color w:val="000000"/>
                <w:kern w:val="0"/>
                <w:sz w:val="24"/>
                <w:szCs w:val="24"/>
              </w:rPr>
            </w:pPr>
            <w:r>
              <w:rPr>
                <w:rFonts w:hint="eastAsia" w:ascii="宋体" w:cs="宋体"/>
                <w:color w:val="000000"/>
                <w:kern w:val="0"/>
                <w:sz w:val="24"/>
                <w:szCs w:val="24"/>
              </w:rPr>
              <w:t>施工现场的基本安全知识、交通安全知识</w:t>
            </w:r>
          </w:p>
        </w:tc>
      </w:tr>
      <w:tr>
        <w:tblPrEx>
          <w:tblCellMar>
            <w:top w:w="0" w:type="dxa"/>
            <w:left w:w="0" w:type="dxa"/>
            <w:bottom w:w="0" w:type="dxa"/>
            <w:right w:w="0" w:type="dxa"/>
          </w:tblCellMar>
        </w:tblPrEx>
        <w:trPr>
          <w:trHeight w:val="345" w:hRule="atLeast"/>
        </w:trPr>
        <w:tc>
          <w:tcPr>
            <w:tcW w:w="3044" w:type="dxa"/>
            <w:tcBorders>
              <w:top w:val="nil"/>
              <w:left w:val="single" w:color="auto" w:sz="8" w:space="0"/>
              <w:bottom w:val="single" w:color="000000" w:sz="8" w:space="0"/>
              <w:right w:val="single" w:color="000000" w:sz="8" w:space="0"/>
            </w:tcBorders>
            <w:shd w:val="clear" w:color="auto" w:fill="FFFFFF"/>
            <w:vAlign w:val="center"/>
          </w:tcPr>
          <w:p>
            <w:pPr>
              <w:widowControl/>
              <w:jc w:val="center"/>
              <w:rPr>
                <w:rFonts w:ascii="宋体" w:cs="宋体"/>
                <w:color w:val="000000"/>
                <w:kern w:val="0"/>
                <w:sz w:val="18"/>
                <w:szCs w:val="18"/>
              </w:rPr>
            </w:pPr>
            <w:r>
              <w:rPr>
                <w:rFonts w:hint="eastAsia"/>
                <w:sz w:val="24"/>
                <w:szCs w:val="24"/>
              </w:rPr>
              <w:t>计算题</w:t>
            </w:r>
            <w:r>
              <w:rPr>
                <w:rFonts w:ascii="宋体" w:hAnsi="宋体" w:cs="宋体"/>
                <w:color w:val="000000"/>
                <w:kern w:val="0"/>
                <w:sz w:val="24"/>
                <w:szCs w:val="24"/>
              </w:rPr>
              <w:t xml:space="preserve"> (</w:t>
            </w:r>
            <w:r>
              <w:rPr>
                <w:rFonts w:hint="eastAsia" w:ascii="宋体" w:hAnsi="宋体" w:cs="宋体"/>
                <w:color w:val="000000"/>
                <w:kern w:val="0"/>
                <w:sz w:val="24"/>
                <w:szCs w:val="24"/>
              </w:rPr>
              <w:t>15分）</w:t>
            </w:r>
          </w:p>
        </w:tc>
        <w:tc>
          <w:tcPr>
            <w:tcW w:w="5478" w:type="dxa"/>
            <w:tcBorders>
              <w:top w:val="nil"/>
              <w:left w:val="nil"/>
              <w:bottom w:val="single" w:color="auto" w:sz="4" w:space="0"/>
              <w:right w:val="single" w:color="auto" w:sz="8" w:space="0"/>
            </w:tcBorders>
            <w:shd w:val="clear" w:color="auto" w:fill="FFFFFF"/>
            <w:tcMar>
              <w:top w:w="0" w:type="dxa"/>
              <w:left w:w="108" w:type="dxa"/>
              <w:bottom w:w="0" w:type="dxa"/>
              <w:right w:w="108" w:type="dxa"/>
            </w:tcMar>
            <w:vAlign w:val="bottom"/>
          </w:tcPr>
          <w:p>
            <w:pPr>
              <w:widowControl/>
              <w:wordWrap w:val="0"/>
              <w:spacing w:line="500" w:lineRule="atLeast"/>
              <w:jc w:val="left"/>
              <w:textAlignment w:val="baseline"/>
              <w:rPr>
                <w:rFonts w:ascii="宋体" w:hAnsi="宋体" w:cs="宋体"/>
                <w:color w:val="000000"/>
                <w:kern w:val="0"/>
                <w:sz w:val="24"/>
                <w:szCs w:val="24"/>
              </w:rPr>
            </w:pPr>
            <w:r>
              <w:rPr>
                <w:rFonts w:hint="eastAsia" w:ascii="宋体" w:hAnsi="宋体" w:cs="宋体"/>
                <w:color w:val="000000"/>
                <w:kern w:val="0"/>
                <w:sz w:val="24"/>
                <w:szCs w:val="24"/>
              </w:rPr>
              <w:t>建筑面积的计算、建筑高程的计算</w:t>
            </w:r>
          </w:p>
        </w:tc>
      </w:tr>
      <w:tr>
        <w:tblPrEx>
          <w:tblCellMar>
            <w:top w:w="0" w:type="dxa"/>
            <w:left w:w="0" w:type="dxa"/>
            <w:bottom w:w="0" w:type="dxa"/>
            <w:right w:w="0" w:type="dxa"/>
          </w:tblCellMar>
        </w:tblPrEx>
        <w:trPr>
          <w:trHeight w:val="467" w:hRule="atLeast"/>
        </w:trPr>
        <w:tc>
          <w:tcPr>
            <w:tcW w:w="3044" w:type="dxa"/>
            <w:vMerge w:val="restart"/>
            <w:tcBorders>
              <w:top w:val="nil"/>
              <w:left w:val="single" w:color="auto" w:sz="8" w:space="0"/>
              <w:right w:val="single" w:color="auto" w:sz="4" w:space="0"/>
            </w:tcBorders>
            <w:shd w:val="clear" w:color="auto" w:fill="FFFFFF"/>
            <w:tcMar>
              <w:top w:w="0" w:type="dxa"/>
              <w:left w:w="108" w:type="dxa"/>
              <w:bottom w:w="0" w:type="dxa"/>
              <w:right w:w="108" w:type="dxa"/>
            </w:tcMar>
            <w:vAlign w:val="center"/>
          </w:tcPr>
          <w:p>
            <w:pPr>
              <w:widowControl/>
              <w:wordWrap w:val="0"/>
              <w:spacing w:line="500" w:lineRule="atLeast"/>
              <w:ind w:firstLine="480"/>
              <w:jc w:val="center"/>
              <w:textAlignment w:val="baseline"/>
              <w:rPr>
                <w:rFonts w:ascii="宋体" w:cs="宋体"/>
                <w:color w:val="000000"/>
                <w:kern w:val="0"/>
                <w:sz w:val="18"/>
                <w:szCs w:val="18"/>
              </w:rPr>
            </w:pPr>
            <w:r>
              <w:rPr>
                <w:rFonts w:hint="eastAsia"/>
                <w:sz w:val="24"/>
                <w:szCs w:val="24"/>
              </w:rPr>
              <w:t>问答题</w:t>
            </w:r>
            <w:r>
              <w:rPr>
                <w:rFonts w:ascii="宋体" w:hAnsi="宋体" w:cs="宋体"/>
                <w:color w:val="000000"/>
                <w:kern w:val="0"/>
                <w:sz w:val="24"/>
                <w:szCs w:val="24"/>
              </w:rPr>
              <w:t>(</w:t>
            </w:r>
            <w:r>
              <w:rPr>
                <w:rFonts w:hint="eastAsia" w:ascii="宋体" w:hAnsi="宋体" w:cs="宋体"/>
                <w:color w:val="000000"/>
                <w:kern w:val="0"/>
                <w:sz w:val="24"/>
                <w:szCs w:val="24"/>
              </w:rPr>
              <w:t>25分）</w:t>
            </w:r>
          </w:p>
        </w:tc>
        <w:tc>
          <w:tcPr>
            <w:tcW w:w="5478" w:type="dxa"/>
            <w:tcBorders>
              <w:top w:val="single" w:color="auto" w:sz="4" w:space="0"/>
              <w:left w:val="single" w:color="auto" w:sz="4" w:space="0"/>
              <w:right w:val="single" w:color="auto" w:sz="4" w:space="0"/>
            </w:tcBorders>
            <w:shd w:val="clear" w:color="auto" w:fill="FFFFFF"/>
            <w:tcMar>
              <w:top w:w="0" w:type="dxa"/>
              <w:left w:w="108" w:type="dxa"/>
              <w:bottom w:w="0" w:type="dxa"/>
              <w:right w:w="108" w:type="dxa"/>
            </w:tcMar>
            <w:vAlign w:val="bottom"/>
          </w:tcPr>
          <w:p>
            <w:pPr>
              <w:spacing w:line="360" w:lineRule="auto"/>
              <w:jc w:val="left"/>
              <w:rPr>
                <w:rFonts w:ascii="宋体" w:cs="宋体"/>
                <w:color w:val="000000"/>
                <w:kern w:val="0"/>
                <w:sz w:val="24"/>
                <w:szCs w:val="24"/>
              </w:rPr>
            </w:pPr>
            <w:r>
              <w:rPr>
                <w:rFonts w:hint="eastAsia" w:ascii="宋体" w:cs="宋体"/>
                <w:color w:val="000000"/>
                <w:kern w:val="0"/>
                <w:sz w:val="24"/>
                <w:szCs w:val="24"/>
              </w:rPr>
              <w:t>1、对专业的认知、本行业的了解。</w:t>
            </w:r>
          </w:p>
        </w:tc>
      </w:tr>
      <w:tr>
        <w:tblPrEx>
          <w:tblCellMar>
            <w:top w:w="0" w:type="dxa"/>
            <w:left w:w="0" w:type="dxa"/>
            <w:bottom w:w="0" w:type="dxa"/>
            <w:right w:w="0" w:type="dxa"/>
          </w:tblCellMar>
        </w:tblPrEx>
        <w:trPr>
          <w:trHeight w:val="533" w:hRule="atLeast"/>
        </w:trPr>
        <w:tc>
          <w:tcPr>
            <w:tcW w:w="3044" w:type="dxa"/>
            <w:vMerge w:val="continue"/>
            <w:tcBorders>
              <w:left w:val="single" w:color="auto" w:sz="8" w:space="0"/>
              <w:right w:val="single" w:color="auto" w:sz="4" w:space="0"/>
            </w:tcBorders>
            <w:shd w:val="clear" w:color="auto" w:fill="FFFFFF"/>
            <w:vAlign w:val="center"/>
          </w:tcPr>
          <w:p>
            <w:pPr>
              <w:widowControl/>
              <w:jc w:val="left"/>
              <w:rPr>
                <w:rFonts w:ascii="宋体" w:cs="宋体"/>
                <w:color w:val="000000"/>
                <w:kern w:val="0"/>
                <w:sz w:val="18"/>
                <w:szCs w:val="18"/>
              </w:rPr>
            </w:pPr>
          </w:p>
        </w:tc>
        <w:tc>
          <w:tcPr>
            <w:tcW w:w="547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bottom"/>
          </w:tcPr>
          <w:p>
            <w:pPr>
              <w:wordWrap w:val="0"/>
              <w:spacing w:line="500" w:lineRule="atLeast"/>
              <w:jc w:val="left"/>
              <w:textAlignment w:val="baseline"/>
              <w:rPr>
                <w:rFonts w:ascii="宋体" w:cs="宋体"/>
                <w:color w:val="000000"/>
                <w:kern w:val="0"/>
                <w:sz w:val="24"/>
                <w:szCs w:val="24"/>
              </w:rPr>
            </w:pPr>
            <w:r>
              <w:rPr>
                <w:rFonts w:hint="eastAsia" w:ascii="宋体" w:cs="宋体"/>
                <w:color w:val="000000"/>
                <w:kern w:val="0"/>
                <w:sz w:val="24"/>
                <w:szCs w:val="24"/>
              </w:rPr>
              <w:t>2、本人的学习规划、学习方法、学习技巧。</w:t>
            </w:r>
          </w:p>
        </w:tc>
      </w:tr>
      <w:tr>
        <w:tblPrEx>
          <w:tblCellMar>
            <w:top w:w="0" w:type="dxa"/>
            <w:left w:w="0" w:type="dxa"/>
            <w:bottom w:w="0" w:type="dxa"/>
            <w:right w:w="0" w:type="dxa"/>
          </w:tblCellMar>
        </w:tblPrEx>
        <w:trPr>
          <w:trHeight w:val="533" w:hRule="atLeast"/>
        </w:trPr>
        <w:tc>
          <w:tcPr>
            <w:tcW w:w="3044" w:type="dxa"/>
            <w:vMerge w:val="continue"/>
            <w:tcBorders>
              <w:left w:val="single" w:color="auto" w:sz="8" w:space="0"/>
              <w:bottom w:val="single" w:color="000000" w:sz="8" w:space="0"/>
              <w:right w:val="single" w:color="auto" w:sz="4" w:space="0"/>
            </w:tcBorders>
            <w:shd w:val="clear" w:color="auto" w:fill="FFFFFF"/>
            <w:vAlign w:val="center"/>
          </w:tcPr>
          <w:p>
            <w:pPr>
              <w:widowControl/>
              <w:jc w:val="left"/>
              <w:rPr>
                <w:rFonts w:ascii="宋体" w:cs="宋体"/>
                <w:color w:val="000000"/>
                <w:kern w:val="0"/>
                <w:sz w:val="18"/>
                <w:szCs w:val="18"/>
              </w:rPr>
            </w:pPr>
          </w:p>
        </w:tc>
        <w:tc>
          <w:tcPr>
            <w:tcW w:w="547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bottom"/>
          </w:tcPr>
          <w:p>
            <w:pPr>
              <w:wordWrap w:val="0"/>
              <w:spacing w:line="500" w:lineRule="atLeast"/>
              <w:jc w:val="left"/>
              <w:textAlignment w:val="baseline"/>
              <w:rPr>
                <w:rFonts w:ascii="宋体" w:cs="宋体"/>
                <w:color w:val="000000"/>
                <w:kern w:val="0"/>
                <w:sz w:val="24"/>
                <w:szCs w:val="24"/>
              </w:rPr>
            </w:pPr>
            <w:r>
              <w:rPr>
                <w:rFonts w:ascii="宋体" w:hAnsi="宋体" w:cs="宋体"/>
                <w:color w:val="000000"/>
                <w:kern w:val="0"/>
                <w:sz w:val="24"/>
                <w:szCs w:val="24"/>
              </w:rPr>
              <w:t>3.</w:t>
            </w:r>
            <w:r>
              <w:rPr>
                <w:rFonts w:hint="eastAsia" w:ascii="宋体" w:hAnsi="宋体" w:cs="宋体"/>
                <w:color w:val="000000"/>
                <w:kern w:val="0"/>
                <w:sz w:val="24"/>
                <w:szCs w:val="24"/>
              </w:rPr>
              <w:t>本人的职业规划、就业岗位的要求。</w:t>
            </w:r>
          </w:p>
        </w:tc>
      </w:tr>
    </w:tbl>
    <w:p>
      <w:pPr>
        <w:widowControl/>
        <w:shd w:val="clear" w:color="auto" w:fill="FFFFFF"/>
        <w:spacing w:line="560" w:lineRule="atLeast"/>
        <w:jc w:val="left"/>
        <w:textAlignment w:val="baseline"/>
        <w:rPr>
          <w:rFonts w:ascii="宋体" w:cs="宋体"/>
          <w:color w:val="000000"/>
          <w:kern w:val="0"/>
          <w:sz w:val="28"/>
          <w:szCs w:val="28"/>
        </w:rPr>
      </w:pPr>
      <w:r>
        <w:rPr>
          <w:rFonts w:hint="eastAsia" w:ascii="宋体" w:hAnsi="宋体" w:cs="宋体"/>
          <w:b/>
          <w:bCs/>
          <w:color w:val="000000"/>
          <w:kern w:val="0"/>
          <w:sz w:val="28"/>
          <w:szCs w:val="28"/>
        </w:rPr>
        <w:t>五、注意事项</w:t>
      </w:r>
    </w:p>
    <w:p>
      <w:pPr>
        <w:spacing w:line="360" w:lineRule="auto"/>
        <w:ind w:firstLine="480" w:firstLineChars="200"/>
        <w:rPr>
          <w:sz w:val="24"/>
          <w:szCs w:val="24"/>
        </w:rPr>
      </w:pPr>
      <w:r>
        <w:rPr>
          <w:sz w:val="24"/>
          <w:szCs w:val="24"/>
        </w:rPr>
        <w:t>1.</w:t>
      </w:r>
      <w:r>
        <w:rPr>
          <w:rFonts w:hint="eastAsia"/>
          <w:sz w:val="24"/>
          <w:szCs w:val="24"/>
        </w:rPr>
        <w:t>考生必须提前</w:t>
      </w:r>
      <w:r>
        <w:rPr>
          <w:sz w:val="24"/>
          <w:szCs w:val="24"/>
        </w:rPr>
        <w:t>15</w:t>
      </w:r>
      <w:r>
        <w:rPr>
          <w:rFonts w:hint="eastAsia"/>
          <w:sz w:val="24"/>
          <w:szCs w:val="24"/>
        </w:rPr>
        <w:t>分钟到达考场候考，带齐准考证、身份证等有效证件；</w:t>
      </w:r>
    </w:p>
    <w:p>
      <w:pPr>
        <w:spacing w:line="360" w:lineRule="auto"/>
        <w:ind w:firstLine="480" w:firstLineChars="200"/>
        <w:rPr>
          <w:sz w:val="24"/>
          <w:szCs w:val="24"/>
        </w:rPr>
      </w:pPr>
      <w:r>
        <w:rPr>
          <w:sz w:val="24"/>
          <w:szCs w:val="24"/>
        </w:rPr>
        <w:t>2.</w:t>
      </w:r>
      <w:r>
        <w:rPr>
          <w:rFonts w:hint="eastAsia"/>
          <w:sz w:val="24"/>
          <w:szCs w:val="24"/>
        </w:rPr>
        <w:t>考试时到达考场必须保持安静，听从工作人员指挥，戴口罩，排队进入考场，同时关闭手机并放在指定位置，考试结束取回个人物品后须尽快离开考场；</w:t>
      </w:r>
    </w:p>
    <w:p>
      <w:pPr>
        <w:spacing w:line="360" w:lineRule="auto"/>
        <w:rPr>
          <w:b/>
          <w:sz w:val="28"/>
          <w:szCs w:val="28"/>
        </w:rPr>
      </w:pPr>
      <w:r>
        <w:rPr>
          <w:rFonts w:hint="eastAsia"/>
          <w:b/>
          <w:sz w:val="28"/>
          <w:szCs w:val="28"/>
        </w:rPr>
        <w:t>六、参考资料</w:t>
      </w:r>
    </w:p>
    <w:p>
      <w:pPr>
        <w:spacing w:line="360" w:lineRule="auto"/>
        <w:ind w:firstLine="480" w:firstLineChars="200"/>
        <w:rPr>
          <w:sz w:val="24"/>
          <w:szCs w:val="24"/>
        </w:rPr>
      </w:pPr>
      <w:r>
        <w:rPr>
          <w:sz w:val="24"/>
          <w:szCs w:val="24"/>
        </w:rPr>
        <w:t>1</w:t>
      </w:r>
      <w:r>
        <w:rPr>
          <w:rFonts w:hint="eastAsia"/>
          <w:sz w:val="24"/>
          <w:szCs w:val="24"/>
        </w:rPr>
        <w:t>．牛欣欣主编《建筑材料》，西安交通大学出版社，</w:t>
      </w:r>
      <w:r>
        <w:rPr>
          <w:sz w:val="24"/>
          <w:szCs w:val="24"/>
        </w:rPr>
        <w:t>201</w:t>
      </w:r>
      <w:r>
        <w:rPr>
          <w:rFonts w:hint="eastAsia"/>
          <w:sz w:val="24"/>
          <w:szCs w:val="24"/>
        </w:rPr>
        <w:t>3年1月。</w:t>
      </w:r>
    </w:p>
    <w:p>
      <w:pPr>
        <w:spacing w:line="360" w:lineRule="auto"/>
        <w:ind w:firstLine="480" w:firstLineChars="200"/>
        <w:rPr>
          <w:sz w:val="24"/>
          <w:szCs w:val="24"/>
        </w:rPr>
      </w:pPr>
      <w:r>
        <w:rPr>
          <w:sz w:val="24"/>
          <w:szCs w:val="24"/>
        </w:rPr>
        <w:t>2</w:t>
      </w:r>
      <w:r>
        <w:rPr>
          <w:rFonts w:hint="eastAsia"/>
          <w:sz w:val="24"/>
          <w:szCs w:val="24"/>
        </w:rPr>
        <w:t>．冯川萍主编《建筑构造与设计》，西安交通大学出版社，</w:t>
      </w:r>
      <w:r>
        <w:rPr>
          <w:sz w:val="24"/>
          <w:szCs w:val="24"/>
        </w:rPr>
        <w:t>201</w:t>
      </w:r>
      <w:r>
        <w:rPr>
          <w:rFonts w:hint="eastAsia"/>
          <w:sz w:val="24"/>
          <w:szCs w:val="24"/>
        </w:rPr>
        <w:t>2年8月。</w:t>
      </w:r>
    </w:p>
    <w:p>
      <w:pPr>
        <w:spacing w:line="360" w:lineRule="auto"/>
        <w:ind w:firstLine="480" w:firstLineChars="200"/>
        <w:rPr>
          <w:sz w:val="24"/>
          <w:szCs w:val="24"/>
        </w:rPr>
      </w:pPr>
      <w:r>
        <w:rPr>
          <w:sz w:val="24"/>
          <w:szCs w:val="24"/>
        </w:rPr>
        <w:t>3</w:t>
      </w:r>
      <w:r>
        <w:rPr>
          <w:rFonts w:hint="eastAsia"/>
          <w:sz w:val="24"/>
          <w:szCs w:val="24"/>
        </w:rPr>
        <w:t>．田卫明主编《建筑材料选用与检测》</w:t>
      </w:r>
      <w:r>
        <w:rPr>
          <w:sz w:val="24"/>
          <w:szCs w:val="24"/>
        </w:rPr>
        <w:t>,</w:t>
      </w:r>
      <w:r>
        <w:rPr>
          <w:rFonts w:hint="eastAsia"/>
          <w:sz w:val="24"/>
          <w:szCs w:val="24"/>
        </w:rPr>
        <w:t>天津大学出版社</w:t>
      </w:r>
      <w:r>
        <w:rPr>
          <w:sz w:val="24"/>
          <w:szCs w:val="24"/>
        </w:rPr>
        <w:t xml:space="preserve">,2016 </w:t>
      </w:r>
      <w:r>
        <w:rPr>
          <w:rFonts w:hint="eastAsia"/>
          <w:sz w:val="24"/>
          <w:szCs w:val="24"/>
        </w:rPr>
        <w:t>年</w:t>
      </w:r>
      <w:r>
        <w:rPr>
          <w:sz w:val="24"/>
          <w:szCs w:val="24"/>
        </w:rPr>
        <w:t xml:space="preserve"> 9 </w:t>
      </w:r>
      <w:r>
        <w:rPr>
          <w:rFonts w:hint="eastAsia"/>
          <w:sz w:val="24"/>
          <w:szCs w:val="24"/>
        </w:rPr>
        <w:t>月。</w:t>
      </w:r>
    </w:p>
    <w:p>
      <w:pPr>
        <w:spacing w:line="360" w:lineRule="auto"/>
        <w:ind w:firstLine="480" w:firstLineChars="200"/>
        <w:rPr>
          <w:sz w:val="24"/>
          <w:szCs w:val="24"/>
        </w:rPr>
      </w:pPr>
      <w:r>
        <w:rPr>
          <w:rFonts w:hint="eastAsia"/>
          <w:sz w:val="24"/>
          <w:szCs w:val="24"/>
        </w:rPr>
        <w:t xml:space="preserve">4. </w:t>
      </w:r>
      <w:r>
        <w:rPr>
          <w:sz w:val="24"/>
          <w:szCs w:val="24"/>
        </w:rPr>
        <w:t>郭秋生</w:t>
      </w:r>
      <w:r>
        <w:rPr>
          <w:rFonts w:hint="eastAsia"/>
          <w:sz w:val="24"/>
          <w:szCs w:val="24"/>
        </w:rPr>
        <w:t>主编《建筑工程安全管理》，中国建筑工业出版社出版，</w:t>
      </w:r>
      <w:r>
        <w:rPr>
          <w:sz w:val="24"/>
          <w:szCs w:val="24"/>
        </w:rPr>
        <w:t>2007年2月</w:t>
      </w:r>
      <w:r>
        <w:rPr>
          <w:rFonts w:hint="eastAsia"/>
          <w:sz w:val="24"/>
          <w:szCs w:val="24"/>
        </w:rPr>
        <w:t>。</w:t>
      </w:r>
    </w:p>
    <w:p>
      <w:pPr>
        <w:spacing w:line="360" w:lineRule="auto"/>
        <w:ind w:firstLine="480" w:firstLineChars="200"/>
        <w:rPr>
          <w:sz w:val="24"/>
          <w:szCs w:val="24"/>
        </w:rPr>
      </w:pPr>
      <w:r>
        <w:rPr>
          <w:rFonts w:hint="eastAsia"/>
          <w:sz w:val="24"/>
          <w:szCs w:val="24"/>
        </w:rPr>
        <w:t>5</w:t>
      </w:r>
      <w:r>
        <w:rPr>
          <w:sz w:val="24"/>
          <w:szCs w:val="24"/>
        </w:rPr>
        <w:t xml:space="preserve">. </w:t>
      </w:r>
      <w:r>
        <w:rPr>
          <w:rFonts w:hint="eastAsia"/>
          <w:sz w:val="24"/>
          <w:szCs w:val="24"/>
        </w:rPr>
        <w:t>查阅报考相关院校网站建筑工程技术专业介绍。</w:t>
      </w:r>
    </w:p>
    <w:p>
      <w:pPr>
        <w:spacing w:line="360" w:lineRule="auto"/>
        <w:ind w:firstLine="480" w:firstLineChars="200"/>
        <w:rPr>
          <w:sz w:val="24"/>
          <w:szCs w:val="24"/>
        </w:rPr>
      </w:pPr>
      <w:r>
        <w:rPr>
          <w:rFonts w:hint="eastAsia"/>
          <w:sz w:val="24"/>
          <w:szCs w:val="24"/>
        </w:rPr>
        <w:t>6．建筑工程技术专业百度词条。</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100"/>
    <w:rsid w:val="00032A19"/>
    <w:rsid w:val="000353D3"/>
    <w:rsid w:val="000376F2"/>
    <w:rsid w:val="00063BFB"/>
    <w:rsid w:val="00073619"/>
    <w:rsid w:val="000D1069"/>
    <w:rsid w:val="001A0B9E"/>
    <w:rsid w:val="001C3B8B"/>
    <w:rsid w:val="002D5347"/>
    <w:rsid w:val="002E3F49"/>
    <w:rsid w:val="00335A96"/>
    <w:rsid w:val="00403117"/>
    <w:rsid w:val="00412276"/>
    <w:rsid w:val="004775F5"/>
    <w:rsid w:val="004F44DF"/>
    <w:rsid w:val="00517D85"/>
    <w:rsid w:val="0058632C"/>
    <w:rsid w:val="0058713F"/>
    <w:rsid w:val="006531A7"/>
    <w:rsid w:val="00664612"/>
    <w:rsid w:val="006650E5"/>
    <w:rsid w:val="006909F8"/>
    <w:rsid w:val="00696097"/>
    <w:rsid w:val="006D59DD"/>
    <w:rsid w:val="00794835"/>
    <w:rsid w:val="007D21CC"/>
    <w:rsid w:val="007D6C56"/>
    <w:rsid w:val="00804CE9"/>
    <w:rsid w:val="00817EBC"/>
    <w:rsid w:val="0082434A"/>
    <w:rsid w:val="00874C3F"/>
    <w:rsid w:val="008D5878"/>
    <w:rsid w:val="00913F8C"/>
    <w:rsid w:val="00914F3C"/>
    <w:rsid w:val="00950374"/>
    <w:rsid w:val="00953573"/>
    <w:rsid w:val="00976FB5"/>
    <w:rsid w:val="009D5793"/>
    <w:rsid w:val="00A36C36"/>
    <w:rsid w:val="00A53E31"/>
    <w:rsid w:val="00A85DF3"/>
    <w:rsid w:val="00AA12D1"/>
    <w:rsid w:val="00AE003A"/>
    <w:rsid w:val="00AF3CDE"/>
    <w:rsid w:val="00B12AEE"/>
    <w:rsid w:val="00B70100"/>
    <w:rsid w:val="00BF132C"/>
    <w:rsid w:val="00C02DA7"/>
    <w:rsid w:val="00C11DEB"/>
    <w:rsid w:val="00CB151C"/>
    <w:rsid w:val="00DD550A"/>
    <w:rsid w:val="00E97C5C"/>
    <w:rsid w:val="00F113CC"/>
    <w:rsid w:val="00F17287"/>
    <w:rsid w:val="00F3034E"/>
    <w:rsid w:val="00F327D3"/>
    <w:rsid w:val="00F90DA9"/>
    <w:rsid w:val="00FC168C"/>
    <w:rsid w:val="00FC2D44"/>
    <w:rsid w:val="05166B12"/>
    <w:rsid w:val="09992728"/>
    <w:rsid w:val="0B842BD1"/>
    <w:rsid w:val="0F2F7C4F"/>
    <w:rsid w:val="0FC0704E"/>
    <w:rsid w:val="121F417B"/>
    <w:rsid w:val="12DC5669"/>
    <w:rsid w:val="13981DF9"/>
    <w:rsid w:val="148C2503"/>
    <w:rsid w:val="171403ED"/>
    <w:rsid w:val="1C871BEF"/>
    <w:rsid w:val="1DED731A"/>
    <w:rsid w:val="1EFA6FDA"/>
    <w:rsid w:val="1FE937D6"/>
    <w:rsid w:val="1FF82EC0"/>
    <w:rsid w:val="20C92313"/>
    <w:rsid w:val="28ED7160"/>
    <w:rsid w:val="2D587050"/>
    <w:rsid w:val="2D8C0494"/>
    <w:rsid w:val="2F1B09DD"/>
    <w:rsid w:val="34471AB5"/>
    <w:rsid w:val="34D83130"/>
    <w:rsid w:val="3AFA54F3"/>
    <w:rsid w:val="41BA7671"/>
    <w:rsid w:val="440A57A0"/>
    <w:rsid w:val="4EEB22D5"/>
    <w:rsid w:val="4F0F0A96"/>
    <w:rsid w:val="56E21CE6"/>
    <w:rsid w:val="5AFF37F4"/>
    <w:rsid w:val="5E647883"/>
    <w:rsid w:val="5F5A5835"/>
    <w:rsid w:val="65DE6A53"/>
    <w:rsid w:val="67132705"/>
    <w:rsid w:val="6A096426"/>
    <w:rsid w:val="6A672544"/>
    <w:rsid w:val="73E608E8"/>
    <w:rsid w:val="7B7104BC"/>
    <w:rsid w:val="7BE214B9"/>
    <w:rsid w:val="7C0B74D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0"/>
    <w:semiHidden/>
    <w:uiPriority w:val="99"/>
    <w:pPr>
      <w:jc w:val="left"/>
    </w:pPr>
  </w:style>
  <w:style w:type="paragraph" w:styleId="3">
    <w:name w:val="Balloon Text"/>
    <w:basedOn w:val="1"/>
    <w:link w:val="11"/>
    <w:semiHidden/>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iPriority w:val="99"/>
    <w:rPr>
      <w:b/>
      <w:bCs/>
    </w:rPr>
  </w:style>
  <w:style w:type="character" w:styleId="9">
    <w:name w:val="annotation reference"/>
    <w:basedOn w:val="8"/>
    <w:semiHidden/>
    <w:uiPriority w:val="99"/>
    <w:rPr>
      <w:rFonts w:cs="Times New Roman"/>
      <w:sz w:val="21"/>
      <w:szCs w:val="21"/>
    </w:rPr>
  </w:style>
  <w:style w:type="character" w:customStyle="1" w:styleId="10">
    <w:name w:val="批注文字 Char"/>
    <w:basedOn w:val="8"/>
    <w:link w:val="2"/>
    <w:semiHidden/>
    <w:qFormat/>
    <w:locked/>
    <w:uiPriority w:val="99"/>
    <w:rPr>
      <w:rFonts w:cs="Times New Roman"/>
      <w:kern w:val="2"/>
      <w:sz w:val="22"/>
      <w:szCs w:val="22"/>
    </w:rPr>
  </w:style>
  <w:style w:type="character" w:customStyle="1" w:styleId="11">
    <w:name w:val="批注框文本 Char"/>
    <w:basedOn w:val="8"/>
    <w:link w:val="3"/>
    <w:semiHidden/>
    <w:qFormat/>
    <w:locked/>
    <w:uiPriority w:val="99"/>
    <w:rPr>
      <w:rFonts w:cs="Times New Roman"/>
      <w:kern w:val="2"/>
      <w:sz w:val="18"/>
      <w:szCs w:val="18"/>
    </w:rPr>
  </w:style>
  <w:style w:type="character" w:customStyle="1" w:styleId="12">
    <w:name w:val="页脚 Char"/>
    <w:basedOn w:val="8"/>
    <w:link w:val="4"/>
    <w:qFormat/>
    <w:locked/>
    <w:uiPriority w:val="99"/>
    <w:rPr>
      <w:rFonts w:cs="Times New Roman"/>
      <w:sz w:val="18"/>
      <w:szCs w:val="18"/>
    </w:rPr>
  </w:style>
  <w:style w:type="character" w:customStyle="1" w:styleId="13">
    <w:name w:val="页眉 Char"/>
    <w:basedOn w:val="8"/>
    <w:link w:val="5"/>
    <w:qFormat/>
    <w:locked/>
    <w:uiPriority w:val="99"/>
    <w:rPr>
      <w:rFonts w:cs="Times New Roman"/>
      <w:sz w:val="18"/>
      <w:szCs w:val="18"/>
    </w:rPr>
  </w:style>
  <w:style w:type="character" w:customStyle="1" w:styleId="14">
    <w:name w:val="批注主题 Char"/>
    <w:basedOn w:val="10"/>
    <w:link w:val="6"/>
    <w:semiHidden/>
    <w:qFormat/>
    <w:locked/>
    <w:uiPriority w:val="99"/>
    <w:rPr>
      <w:rFonts w:cs="Times New Roman"/>
      <w:b/>
      <w:bCs/>
      <w:kern w:val="2"/>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275</Words>
  <Characters>1570</Characters>
  <Lines>13</Lines>
  <Paragraphs>3</Paragraphs>
  <TotalTime>0</TotalTime>
  <ScaleCrop>false</ScaleCrop>
  <LinksUpToDate>false</LinksUpToDate>
  <CharactersWithSpaces>1842</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2020-10-05T01:42:00Z</dcterms:created>
  <dc:creator>PC</dc:creator>
  <cp:lastModifiedBy>Administrator</cp:lastModifiedBy>
  <dcterms:modified xsi:type="dcterms:W3CDTF">2020-10-10T14:26:12Z</dcterms:modified>
  <dc:title>茂名职业技术学院2020年高职教育现代学徒制试点招生</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