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联想——茂名职业技术学院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骨干教师互动式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教学创新培训班顺利开班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联想——茂名职业技术学院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骨干教师互动式教学创新培训班顺利开班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仪式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我校文明北校区1号教学楼307室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顺利举行。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开班仪式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质量办主任梁辉良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梁德萍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副院长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联想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高级讲师张理奎及来自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本院的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参加了开班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仪式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梁德萍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代表学院致欢迎辞，她指出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本期培训班利用联想集团在企业文化建设、核心管理理念和人力资源开发方面的经验，在高职院校教学工作中引入互动式团队研讨的教育理念，进一步优化了课程内容，同时安排了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联想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名师为学员授课。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梁德萍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副院长对参培教师提出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三点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一是人到。要认真做好考勤，准时参加培训；二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心到。要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认真听讲，相互交流借鉴，通过相互启发分享好做法、好典型、好经验；三是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学到。要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积极思考，努力把学到的新知识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新方法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应用到教学工作中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力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争学有所获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3080" w:firstLineChars="11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撰稿：质量办       审核：梁辉良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A3160"/>
    <w:rsid w:val="102132A8"/>
    <w:rsid w:val="20D126E9"/>
    <w:rsid w:val="3ABA14DD"/>
    <w:rsid w:val="3ED62F05"/>
    <w:rsid w:val="4EEC29DE"/>
    <w:rsid w:val="604B60F0"/>
    <w:rsid w:val="668F2C03"/>
    <w:rsid w:val="68FA3160"/>
    <w:rsid w:val="6B2568C2"/>
    <w:rsid w:val="759615CC"/>
    <w:rsid w:val="7B3D27AA"/>
    <w:rsid w:val="7DB5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2018-01-08T08:33:00Z</dcterms:created>
  <dc:creator>含英咀华</dc:creator>
  <cp:lastModifiedBy>asus</cp:lastModifiedBy>
  <dcterms:modified xsi:type="dcterms:W3CDTF">2018-01-09T13:20:22Z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