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NaOH的滴定》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实验目的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掌握电子天平的使用；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掌握滴定操作，并学会判断滴定终点。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实验原理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氢氧化钠易吸收空气中的水分和CO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，不能直接配制准确浓度的溶液。通常将其配制为近似浓度后，用已知质量的邻苯二甲酸氢钾（KHP）与未知浓度的氢氧化钠发生反应，利用两者的化学计量关系计算出氢氧化钠的浓度。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反应式：HOOCC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COOK+NaOH=NaOOCC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COOK+H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其中，n(KHP) ：n(NaOH)为1：1，即n(KHP)=n(NaOH)。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在化学计量点时pH为9.2，酚酞指示剂的pH变色范围为8.0（无色）~9.5（粉红色），则滴定过程中由无色变为淡粉色即为滴定终点。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利用已知的计量关系和KHP的质量可计算出盐酸的量。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实验步骤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1、用减量法准确称取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已干燥至恒重的邻苯二甲酸氢钾 </w:t>
      </w:r>
      <w:r>
        <w:rPr>
          <w:rFonts w:hint="default" w:ascii="Times New Roman" w:hAnsi="Times New Roman" w:eastAsia="宋体" w:cs="Times New Roman"/>
          <w:sz w:val="24"/>
          <w:szCs w:val="24"/>
        </w:rPr>
        <w:t>0.4~0.5g于250mL锥形瓶中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2、迅速加入50ml煮沸后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冷却</w:t>
      </w:r>
      <w:r>
        <w:rPr>
          <w:rFonts w:hint="default" w:ascii="Times New Roman" w:hAnsi="Times New Roman" w:eastAsia="宋体" w:cs="Times New Roman"/>
          <w:sz w:val="24"/>
          <w:szCs w:val="24"/>
        </w:rPr>
        <w:t>的蒸馏水溶解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邻苯二甲酸氢钾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3、加入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滴酚酞指示剂，用NaOH溶液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将其</w:t>
      </w:r>
      <w:r>
        <w:rPr>
          <w:rFonts w:hint="default" w:ascii="Times New Roman" w:hAnsi="Times New Roman" w:eastAsia="宋体" w:cs="Times New Roman"/>
          <w:sz w:val="24"/>
          <w:szCs w:val="24"/>
        </w:rPr>
        <w:t>滴定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溶液刚好由无色变淡粉色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即</w:t>
      </w:r>
      <w:r>
        <w:rPr>
          <w:rFonts w:hint="default" w:ascii="Times New Roman" w:hAnsi="Times New Roman" w:eastAsia="宋体" w:cs="Times New Roman"/>
          <w:sz w:val="24"/>
          <w:szCs w:val="24"/>
        </w:rPr>
        <w:t>为终点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测定三份。空白组则移取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50</w:t>
      </w:r>
      <w:r>
        <w:rPr>
          <w:rFonts w:hint="default" w:ascii="Times New Roman" w:hAnsi="Times New Roman" w:eastAsia="宋体" w:cs="Times New Roman"/>
          <w:sz w:val="24"/>
          <w:szCs w:val="24"/>
        </w:rPr>
        <w:t>ml蒸馏水于锥形瓶中，同上进行滴定操作。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4、计算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object>
          <v:shape id="_x0000_i1025" o:spt="75" type="#_x0000_t75" style="height:60.1pt;width:407.9pt;" o:ole="t" fillcolor="#FFFFFF" filled="f" o:preferrelative="t" stroked="f" coordsize="21600,21600">
            <v:path/>
            <v:fill on="f" color2="#FFFFFF" focussize="0,0"/>
            <v:stroke on="f" weight="3pt" color="#000000" color2="#FFFFFF" joinstyle="miter"/>
            <v:imagedata r:id="rId5" grayscale="f" bilevel="f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数据处理</w:t>
      </w:r>
    </w:p>
    <w:tbl>
      <w:tblPr>
        <w:tblStyle w:val="4"/>
        <w:tblW w:w="8673" w:type="dxa"/>
        <w:jc w:val="center"/>
        <w:tblInd w:w="-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0"/>
        <w:gridCol w:w="1780"/>
        <w:gridCol w:w="1702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left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6350</wp:posOffset>
                      </wp:positionV>
                      <wp:extent cx="2218055" cy="489585"/>
                      <wp:effectExtent l="1270" t="4445" r="9525" b="2032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8055" cy="48958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7.1pt;margin-top:0.5pt;height:38.55pt;width:174.65pt;z-index:251659264;mso-width-relative:page;mso-height-relative:page;" filled="f" stroked="t" coordsize="21600,21600" o:gfxdata="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4afY9UAAAAIAQAADwAAAAAAAAABACAAAAAiAAAAZHJz&#10;L2Rvd25yZXYueG1sUEsBAhQAFAAAAAgAh07iQK/j27nOAQAAYQMAAA4AAAAAAAAAAQAgAAAAJAEA&#10;AGRycy9lMm9Eb2MueG1sUEsFBgAAAAAGAAYAWQEAAGQFAAAAAA==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项目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           序号</w:t>
            </w:r>
          </w:p>
        </w:tc>
        <w:tc>
          <w:tcPr>
            <w:tcW w:w="1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称量瓶和试样的质量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第一次读数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称量瓶和试样的质量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第二次读数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基准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KHC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bscript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bscript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O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bscript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的质量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m(g)</w:t>
            </w:r>
          </w:p>
        </w:tc>
        <w:tc>
          <w:tcPr>
            <w:tcW w:w="1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滴定消耗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NaOH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用量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mL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滴定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空白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消耗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NaOH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用量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mL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52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bscript"/>
                <w:lang w:val="en-US" w:eastAsia="zh-CN"/>
              </w:rPr>
              <w:t>NaOH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（mol·L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perscript"/>
                <w:lang w:val="en-US" w:eastAsia="zh-CN"/>
              </w:rPr>
              <w:t>-1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）</w:t>
            </w:r>
          </w:p>
        </w:tc>
        <w:tc>
          <w:tcPr>
            <w:tcW w:w="1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bscript"/>
              </w:rPr>
              <w:t>平均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（mol·L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perscript"/>
                <w:lang w:val="en-US" w:eastAsia="zh-CN"/>
              </w:rPr>
              <w:t>-1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）</w:t>
            </w:r>
          </w:p>
        </w:tc>
        <w:tc>
          <w:tcPr>
            <w:tcW w:w="52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平行测定结果的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极差（mol·L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superscript"/>
                <w:lang w:val="en-US" w:eastAsia="zh-CN"/>
              </w:rPr>
              <w:t>-1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）</w:t>
            </w:r>
          </w:p>
        </w:tc>
        <w:tc>
          <w:tcPr>
            <w:tcW w:w="52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极差与平均值之比（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%）</w:t>
            </w:r>
          </w:p>
        </w:tc>
        <w:tc>
          <w:tcPr>
            <w:tcW w:w="52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注：</w:t>
      </w:r>
      <w:r>
        <w:rPr>
          <w:rFonts w:hint="eastAsia" w:asciiTheme="minorEastAsia" w:hAnsiTheme="minorEastAsia" w:cstheme="minorEastAsia"/>
        </w:rPr>
        <w:t>极差=最大值-最小值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cstheme="minorEastAsia"/>
          <w:position w:val="-26"/>
        </w:rPr>
        <w:object>
          <v:shape id="_x0000_i1026" o:spt="75" type="#_x0000_t75" style="height:33pt;width:13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C428A"/>
    <w:multiLevelType w:val="singleLevel"/>
    <w:tmpl w:val="5A0C428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0C42B9"/>
    <w:multiLevelType w:val="singleLevel"/>
    <w:tmpl w:val="5A0C42B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C5DCE"/>
    <w:rsid w:val="079A65D5"/>
    <w:rsid w:val="2AEA431D"/>
    <w:rsid w:val="3FDC5DCE"/>
    <w:rsid w:val="6EF1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2019-04-14T14:27:00Z</dcterms:created>
  <dc:creator>周楚</dc:creator>
  <cp:lastModifiedBy>周楚</cp:lastModifiedBy>
  <dcterms:modified xsi:type="dcterms:W3CDTF">2019-04-14T14:59:29Z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